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firstLine="0" w:firstLineChars="0"/>
        <w:rPr>
          <w:rFonts w:hint="eastAsia" w:ascii="方正黑体_GBK" w:hAnsi="方正黑体_GBK" w:eastAsia="方正黑体_GBK" w:cs="方正黑体_GBK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>
      <w:pPr>
        <w:adjustRightInd w:val="0"/>
        <w:snapToGrid w:val="0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房屋市政工程禁止和限制使用技术目录（2022年版）（征求意见稿）</w:t>
      </w:r>
    </w:p>
    <w:p>
      <w:pPr>
        <w:pStyle w:val="2"/>
        <w:numPr>
          <w:ilvl w:val="0"/>
          <w:numId w:val="1"/>
        </w:numPr>
        <w:adjustRightInd w:val="0"/>
        <w:snapToGrid w:val="0"/>
        <w:spacing w:after="0"/>
        <w:ind w:left="0" w:leftChars="0" w:firstLine="0" w:firstLineChars="0"/>
        <w:jc w:val="center"/>
        <w:rPr>
          <w:rFonts w:ascii="仿宋_GB2312" w:hAnsi="仿宋_GB2312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_GB2312" w:hAnsi="仿宋_GB2312" w:cs="仿宋_GB2312"/>
          <w:b/>
          <w:color w:val="000000"/>
          <w:kern w:val="0"/>
          <w:sz w:val="24"/>
          <w:lang w:bidi="ar"/>
        </w:rPr>
        <w:t xml:space="preserve"> 禁止使用技术</w:t>
      </w:r>
    </w:p>
    <w:tbl>
      <w:tblPr>
        <w:tblStyle w:val="9"/>
        <w:tblW w:w="13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2978"/>
        <w:gridCol w:w="6168"/>
        <w:gridCol w:w="38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 w:hRule="atLeast"/>
          <w:tblHeader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简要描述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可替代的施工工艺、设备、材料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  <w:jc w:val="center"/>
        </w:trPr>
        <w:tc>
          <w:tcPr>
            <w:tcW w:w="1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1.施工工艺（禁止使用）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钢筋“热弯”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加工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工艺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钢筋加工过程中，加热钢筋，将钢筋弯曲至需要的形状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冷弯工艺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一次弯折到位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石材及瓷板落后挂接工艺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销钉连接工艺、板材边部槽式连接的T型挂件及蝶型挂件连接工艺、板材背部直插或斜插入槽口的挑件连接工艺、胶粘接连接工艺等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背栓挂件及组合式挂件（SE型、h型、C型和L型等）连接工艺等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1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2.施工设备（禁止使用）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简易吊机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用于垂直运输施工材料或设备的鸡公吊、墙头吊等简易吊机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汽车吊、施工升降机等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手动吊篮（现场组装）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依靠人力进行驱动的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，用扣件和钢管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等在施工现场组装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搭设的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作业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吊篮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电动作业吊篮等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三点式安全带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三点式腰式安全带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五点式安全带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1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3.工程材料（禁止使用）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废机油脱模剂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在施工现场以废机油或加工过的废机油作为混凝土脱模剂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混凝土专用脱模剂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纸胎油毡防水卷材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以原纸作为胎体的防水卷材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改性沥青防水卷材、自粘防水卷材等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再生料聚乙烯丙纶防水卷材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再生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聚乙烯合成高分子材料为主体原料，添加多种助剂，表面复合丙纶无纺布，经压延等工艺成型的防水卷材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改性沥青防水卷材、自粘防水卷材等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非阻燃型密目式安全网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施工现场为防止人或物件坠落而进行围护使用的普通非阻燃型密目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式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安全网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不燃或难燃材料制作的阻燃型密目式安全网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非耐碱型玻璃纤维网格布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以玻璃纤维机织物为基材，经特殊的组织结构绞织而成的不耐碱型玻璃纤维网格布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耐碱型玻璃纤维网格布</w:t>
            </w:r>
          </w:p>
        </w:tc>
      </w:tr>
    </w:tbl>
    <w:p>
      <w:pPr>
        <w:pStyle w:val="2"/>
        <w:numPr>
          <w:ilvl w:val="255"/>
          <w:numId w:val="0"/>
        </w:numPr>
        <w:jc w:val="both"/>
        <w:rPr>
          <w:rFonts w:hint="eastAsia" w:ascii="仿宋_GB2312" w:hAnsi="仿宋_GB2312" w:cs="仿宋_GB2312"/>
          <w:b/>
          <w:color w:val="000000"/>
          <w:kern w:val="0"/>
          <w:sz w:val="24"/>
          <w:lang w:bidi="ar"/>
        </w:rPr>
      </w:pPr>
    </w:p>
    <w:p>
      <w:pPr>
        <w:pStyle w:val="2"/>
        <w:numPr>
          <w:ilvl w:val="255"/>
          <w:numId w:val="0"/>
        </w:numPr>
        <w:jc w:val="center"/>
        <w:rPr>
          <w:rFonts w:ascii="仿宋_GB2312" w:hAnsi="仿宋_GB2312" w:cs="仿宋_GB2312"/>
          <w:b/>
          <w:spacing w:val="-20"/>
          <w:sz w:val="24"/>
        </w:rPr>
      </w:pPr>
      <w:r>
        <w:rPr>
          <w:rFonts w:hint="eastAsia" w:ascii="仿宋_GB2312" w:hAnsi="仿宋_GB2312" w:cs="仿宋_GB2312"/>
          <w:b/>
          <w:color w:val="000000"/>
          <w:kern w:val="0"/>
          <w:sz w:val="24"/>
          <w:lang w:bidi="ar"/>
        </w:rPr>
        <w:t>第二部分  限制使用技术</w:t>
      </w:r>
    </w:p>
    <w:tbl>
      <w:tblPr>
        <w:tblStyle w:val="9"/>
        <w:tblW w:w="14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3265"/>
        <w:gridCol w:w="3935"/>
        <w:gridCol w:w="3323"/>
        <w:gridCol w:w="3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tblHeader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简要描述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限制条件和范围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可替代的施工工艺、设备、材料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1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238760</wp:posOffset>
                      </wp:positionV>
                      <wp:extent cx="9164955" cy="408305"/>
                      <wp:effectExtent l="6350" t="6350" r="10795" b="234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5650" y="1667510"/>
                                <a:ext cx="916495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2pt;margin-top:18.8pt;height:32.15pt;width:721.65pt;z-index:251659264;v-text-anchor:middle;mso-width-relative:page;mso-height-relative:page;" filled="f" stroked="t" coordsize="21600,21600" o:gfxdata="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IkBzMPWAAAACAEAAA8AAAAAAAAAAQAgAAAA&#10;IgAAAGRycy9kb3ducmV2LnhtbFBLAQIUABQAAAAIAIdO4kAmd7zzuAIAAHAFAAAOAAAAAAAAAAEA&#10;IAAAACUBAABkcnMvZTJvRG9jLnhtbFBLBQYAAAAABgAGAFkBAABPBg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1.施工工艺（限制使用）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施工现场自拌砂浆/混凝土工艺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在施工现场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混合水泥、砂、碎石等，自行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拌合砂浆/混凝土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不得用于结构承重部件的浇筑；不得用于结构的加固、砌筑等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预拌砂浆/混凝土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2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电渣压力焊工艺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人工操作电渣压力焊机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auto"/>
                <w:lang w:bidi="ar"/>
              </w:rPr>
              <w:t>利用电流通过液体熔渣所产生的电阻热进行焊接的一种熔焊方法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不得用于焊接直径大于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22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mm的钢筋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机械连接等工艺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混凝土井盖工艺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使用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钢筋、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混凝土材料制作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井盖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机动车道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球墨铸铁防沉降井盖等工艺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砖砌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式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雨水口工艺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hd w:val="clear" w:fill="auto"/>
                <w:lang w:eastAsia="zh-CN" w:bidi="ar"/>
              </w:rPr>
              <w:t>在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hd w:val="clear" w:fill="auto"/>
                <w:lang w:val="en-US" w:eastAsia="zh-CN" w:bidi="ar"/>
              </w:rPr>
              <w:t>道路两侧，采用砌块现场砌筑雨水口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机动车道和非机动车道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现浇混凝土雨水口、预制成品雨水口等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干喷混凝土工艺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将骨料、水泥按一定比例干拌均匀，用混凝土干喷机高速喷射到受喷面上的喷射混凝土施工方法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不得用于大断面隧道、大型洞室、C30及以上强度等级喷射混凝土、非富水围岩地质条件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湿喷混凝土工艺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砖砌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化粪池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hd w:val="clear"/>
                <w:lang w:bidi="ar"/>
              </w:rPr>
              <w:t>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采用砌块现场砌筑化粪池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的施工方法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不得用于设区市、县（区）主城区建设工程；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不得用于存在地下水源的区域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现浇钢筋混凝土化粪池、一体式成品化粪池等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桩头“直接凿除法”工艺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在未对桩头进行预先切割处理的情况下，直接由人工采用风镐或其它工具凿除桩头混凝土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不得用于地基基础设计等级为乙级及以上房屋建筑工程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“预先切割法+机械凿除”桩头处理工艺、“环切法”整体桩头处理工艺等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3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人工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掘进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顶管工艺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采用人工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在管前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挖土掘进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，挖出的土方由手推车或矿车运到工作坑，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随挖随顶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的顶管施工方法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除同时具备以下条件外不得使用：1、有设计文件；2、有安全施工专项方案且经专家论证通过；3、管道内径大于1000mm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小于2000mm；4、单段顶进长度小于60m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5、机械掘进顶管、水力掘进顶管等工艺受限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机械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掘进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顶管工艺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、水力掘进顶管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工艺等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水泥稳定类混合料路拌法工艺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采用人工辅以机械（如挖掘机等）在施工现场就地拌和水泥稳定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混合料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施工方法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不得用于市政道路工程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厂拌法工艺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锤击沉桩工艺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采用机械锤击成桩施工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不得用于医院、学校、科研单位、住宅等有限定噪音或振动要求的区域（工程抢修、抢险作业等特殊情况除外）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静压桩、植桩等工艺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  <w:jc w:val="center"/>
        </w:trPr>
        <w:tc>
          <w:tcPr>
            <w:tcW w:w="1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2.施工设备（限制使用）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剪切式钢筋切断机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采用剪切原理设计的钢筋切断设备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不得用于采用机械连接工艺的钢筋加工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数控激光切割机、等离子切割机等设备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2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轮扣式脚手架、支撑架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使用轮扣式钢管脚手架和扣件搭设的脚手架、模板支撑架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不得用于高度大于5m（含5m）的房屋市政工程；不得用于搭设满堂支撑架；不得用于危险性较大的分部分项工程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承插型盘扣式脚手架、支撑架等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扣件式钢管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卸料平台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用扣件式钢管脚手架搭设的卸料平台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不得用于三层（或10m）及以上建筑工程施工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不得用作悬挑卸料平台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型钢卸料平台等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钢管扣件型附着式升降脚手架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竖向主框架为平面桁架或空间桁架结构，水平支承桁架和架体构架由扣件式钢管脚手架搭设，附着在建筑结构上并能利用自身设备使架体升降的脚手架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不得采用钢管扣件式搭接连接；不得采用斜顶撑式防坠装置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全钢型或铝合金型附着式升降脚手架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1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2" w:firstLineChars="200"/>
              <w:jc w:val="center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lang w:bidi="ar"/>
              </w:rPr>
              <w:t>.工程材料（限制使用）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无机轻集料保温砂浆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以憎水型膨胀珍珠岩、膨胀玻化微珠、闭孔珍珠岩、陶砂等无机轻集料为保温材料，以水泥或其他水硬性无机胶凝材料为主要胶结料，并掺加高分子聚合物及其他功能性添加剂制成的建筑保温砂浆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0" w:firstLineChars="0"/>
              <w:jc w:val="both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196215</wp:posOffset>
                      </wp:positionV>
                      <wp:extent cx="157670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18175" y="2014855"/>
                                <a:ext cx="157670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.35pt;margin-top:15.45pt;height:0pt;width:124.15pt;z-index:251660288;mso-width-relative:page;mso-height-relative:page;" filled="f" stroked="t" coordsize="21600,21600" o:gfxdata="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uTs+PWAAAABwEAAA8AAAAAAAAA&#10;AQAgAAAAIgAAAGRycy9kb3ducmV2LnhtbFBLAQIUABQAAAAIAIdO4kAVXhJ32gEAAHADAAAOAAAA&#10;AAAAAAEAIAAAACUBAABkcnMvZTJvRG9jLnhtbFBLBQYAAAAABgAGAFkBAABxBQAAAAA=&#10;">
                      <v:fill on="f" focussize="0,0"/>
                      <v:stroke weight="1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不得单独作为保温材料用于外墙保温工程</w:t>
            </w:r>
            <w:bookmarkStart w:id="0" w:name="_GoBack"/>
            <w:bookmarkEnd w:id="0"/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热工性能好的防火保温板材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>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jc w:val="both"/>
              <w:textAlignment w:val="center"/>
              <w:rPr>
                <w:rFonts w:hint="default" w:ascii="仿宋_GB2312" w:hAnsi="仿宋_GB2312" w:cs="仿宋_GB2312"/>
                <w:color w:val="000000"/>
                <w:sz w:val="24"/>
                <w:lang w:val="en-US"/>
              </w:rPr>
            </w:pP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6</w:t>
            </w:r>
          </w:p>
          <w:p>
            <w:pPr>
              <w:pStyle w:val="2"/>
              <w:ind w:left="640" w:leftChars="200" w:firstLine="480" w:firstLineChars="200"/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砂模铸造铸铁管和冷镀锌铸铁管</w:t>
            </w:r>
          </w:p>
        </w:tc>
        <w:tc>
          <w:tcPr>
            <w:tcW w:w="3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用于给水或排水管道的砂模铸造铸铁管和冷镀锌铸铁管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不得用于民用建筑工程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给水管：薄壁不锈钢管、铜管、塑料给水管（PPR、CPVC）、金属塑料复合管等；排水管：球墨铸铁管、HDPE、UPVC管等</w:t>
            </w:r>
          </w:p>
        </w:tc>
      </w:tr>
    </w:tbl>
    <w:p>
      <w:pPr>
        <w:pStyle w:val="2"/>
        <w:spacing w:after="0"/>
        <w:ind w:left="0" w:leftChars="0" w:firstLine="0" w:firstLineChars="0"/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</w:pP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  <w:t>备注：（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  <w:t>一）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  <w:t>可替代的工艺、设备、材料不限于《目录》中所列名称。</w:t>
      </w:r>
    </w:p>
    <w:p>
      <w:pPr>
        <w:pStyle w:val="2"/>
        <w:spacing w:after="0"/>
        <w:ind w:left="0" w:leftChars="0" w:firstLine="0" w:firstLineChars="0"/>
        <w:rPr>
          <w:rFonts w:hint="default" w:ascii="仿宋_GB2312" w:hAnsi="仿宋_GB2312" w:eastAsia="仿宋_GB2312" w:cs="仿宋_GB2312"/>
          <w:color w:val="000000"/>
          <w:spacing w:val="0"/>
          <w:kern w:val="0"/>
          <w:sz w:val="24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  <w:t xml:space="preserve">      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  <w:t>二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  <w:t>）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bidi="ar"/>
        </w:rPr>
        <w:t>《目录》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eastAsia="zh-CN" w:bidi="ar"/>
        </w:rPr>
        <w:t>适用于《建筑工程施工许可管理办法》</w:t>
      </w:r>
      <w:r>
        <w:rPr>
          <w:rFonts w:hint="eastAsia" w:ascii="仿宋_GB2312" w:hAnsi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  <w:t>规定的限额以上新建、改建、扩建房屋建筑和市政工程。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27" w:right="1800" w:bottom="1327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D224D3"/>
    <w:multiLevelType w:val="singleLevel"/>
    <w:tmpl w:val="F2D224D3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5BC5"/>
    <w:rsid w:val="0011484E"/>
    <w:rsid w:val="00172A27"/>
    <w:rsid w:val="0031187B"/>
    <w:rsid w:val="006F5DE4"/>
    <w:rsid w:val="007E1C85"/>
    <w:rsid w:val="009906D2"/>
    <w:rsid w:val="00C675E6"/>
    <w:rsid w:val="02AC606C"/>
    <w:rsid w:val="02E25B94"/>
    <w:rsid w:val="04C10F85"/>
    <w:rsid w:val="07001155"/>
    <w:rsid w:val="09803BC9"/>
    <w:rsid w:val="09E61372"/>
    <w:rsid w:val="0C6641D8"/>
    <w:rsid w:val="0DEB0BEB"/>
    <w:rsid w:val="0E663C33"/>
    <w:rsid w:val="0F5E1CB6"/>
    <w:rsid w:val="0F6B4275"/>
    <w:rsid w:val="10770018"/>
    <w:rsid w:val="15C22894"/>
    <w:rsid w:val="17B70FF1"/>
    <w:rsid w:val="1ABA6C32"/>
    <w:rsid w:val="1BD92594"/>
    <w:rsid w:val="1CD2702F"/>
    <w:rsid w:val="20D16C37"/>
    <w:rsid w:val="23041455"/>
    <w:rsid w:val="23973224"/>
    <w:rsid w:val="25CC5E99"/>
    <w:rsid w:val="263D4078"/>
    <w:rsid w:val="264A21AD"/>
    <w:rsid w:val="27357DA5"/>
    <w:rsid w:val="28155EC4"/>
    <w:rsid w:val="29C22369"/>
    <w:rsid w:val="2DB95CA5"/>
    <w:rsid w:val="2EEB60C4"/>
    <w:rsid w:val="311C15E7"/>
    <w:rsid w:val="33995A39"/>
    <w:rsid w:val="347E30B9"/>
    <w:rsid w:val="34E6179F"/>
    <w:rsid w:val="35B575B3"/>
    <w:rsid w:val="35D40E94"/>
    <w:rsid w:val="3E686A74"/>
    <w:rsid w:val="3FCB5927"/>
    <w:rsid w:val="42A66991"/>
    <w:rsid w:val="434068D0"/>
    <w:rsid w:val="445C6373"/>
    <w:rsid w:val="45294E12"/>
    <w:rsid w:val="46726373"/>
    <w:rsid w:val="4754267C"/>
    <w:rsid w:val="47955A7D"/>
    <w:rsid w:val="492E658C"/>
    <w:rsid w:val="49B32242"/>
    <w:rsid w:val="4D9073CF"/>
    <w:rsid w:val="4DEF14E4"/>
    <w:rsid w:val="4FB24B48"/>
    <w:rsid w:val="51315BCB"/>
    <w:rsid w:val="51B23F58"/>
    <w:rsid w:val="52427140"/>
    <w:rsid w:val="52EC3118"/>
    <w:rsid w:val="546E25A3"/>
    <w:rsid w:val="55DA3489"/>
    <w:rsid w:val="56080CC3"/>
    <w:rsid w:val="56304FCC"/>
    <w:rsid w:val="56B87D49"/>
    <w:rsid w:val="56FC49D4"/>
    <w:rsid w:val="5777291F"/>
    <w:rsid w:val="57C816BD"/>
    <w:rsid w:val="583E2D11"/>
    <w:rsid w:val="59534213"/>
    <w:rsid w:val="59D93223"/>
    <w:rsid w:val="5A184313"/>
    <w:rsid w:val="5A6D32EA"/>
    <w:rsid w:val="5B9660F4"/>
    <w:rsid w:val="5D2027CF"/>
    <w:rsid w:val="5D8E26C7"/>
    <w:rsid w:val="5E36596E"/>
    <w:rsid w:val="5F7C6BAE"/>
    <w:rsid w:val="618D0AB4"/>
    <w:rsid w:val="61B9360C"/>
    <w:rsid w:val="63EF270A"/>
    <w:rsid w:val="654D4275"/>
    <w:rsid w:val="6679505D"/>
    <w:rsid w:val="66B11F5D"/>
    <w:rsid w:val="6AEE2C49"/>
    <w:rsid w:val="6CA40D77"/>
    <w:rsid w:val="6D19156A"/>
    <w:rsid w:val="6DE017C9"/>
    <w:rsid w:val="6E3073B0"/>
    <w:rsid w:val="6E3301CB"/>
    <w:rsid w:val="6EA06080"/>
    <w:rsid w:val="70775C61"/>
    <w:rsid w:val="725B5332"/>
    <w:rsid w:val="73C42049"/>
    <w:rsid w:val="76FE50B4"/>
    <w:rsid w:val="78F24349"/>
    <w:rsid w:val="796463D5"/>
    <w:rsid w:val="798B1F1D"/>
    <w:rsid w:val="7E7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40"/>
      <w:ind w:firstLine="880"/>
      <w:outlineLvl w:val="0"/>
    </w:pPr>
    <w:rPr>
      <w:rFonts w:ascii="Cambria" w:hAnsi="Cambria" w:eastAsia="黑体"/>
      <w:color w:val="366091"/>
      <w:szCs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" w:cs="Arial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Revision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3">
    <w:name w:val="页眉 字符"/>
    <w:basedOn w:val="11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2169</Words>
  <Characters>2219</Characters>
  <Lines>20</Lines>
  <Paragraphs>5</Paragraphs>
  <TotalTime>96</TotalTime>
  <ScaleCrop>false</ScaleCrop>
  <LinksUpToDate>false</LinksUpToDate>
  <CharactersWithSpaces>2228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wenjie</dc:creator>
  <cp:lastModifiedBy>Jloveshine</cp:lastModifiedBy>
  <cp:lastPrinted>2022-11-10T10:04:00Z</cp:lastPrinted>
  <dcterms:modified xsi:type="dcterms:W3CDTF">2022-11-17T06:48:46Z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